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9"/>
        <w:rPr>
          <w:rFonts w:hint="default"/>
          <w:lang w:val="en-US"/>
        </w:rPr>
      </w:pPr>
      <w:bookmarkStart w:id="0" w:name="_GoBack"/>
      <w:bookmarkEnd w:id="0"/>
      <w:r>
        <w:rPr>
          <w:rFonts w:hint="default"/>
          <w:lang w:val="en-US"/>
        </w:rPr>
        <w:t>MINUTES</w:t>
      </w:r>
    </w:p>
    <w:p>
      <w:pPr>
        <w:pStyle w:val="249"/>
        <w:rPr>
          <w:rFonts w:hint="default"/>
          <w:lang w:val="en-US"/>
        </w:rPr>
      </w:pPr>
    </w:p>
    <w:p>
      <w:pPr>
        <w:pStyle w:val="249"/>
      </w:pPr>
      <w:r>
        <w:t>Nahant Community Preservation Committee Meeting</w:t>
      </w:r>
    </w:p>
    <w:p>
      <w:pPr>
        <w:pStyle w:val="249"/>
      </w:pPr>
      <w:r>
        <w:t xml:space="preserve">January </w:t>
      </w:r>
      <w:r>
        <w:rPr>
          <w:rFonts w:hint="default"/>
          <w:lang w:val="en-US"/>
        </w:rPr>
        <w:t>25,</w:t>
      </w:r>
      <w:r>
        <w:t xml:space="preserve"> 2021</w:t>
      </w:r>
    </w:p>
    <w:p>
      <w:pPr>
        <w:pStyle w:val="249"/>
      </w:pPr>
      <w:r>
        <w:t>Virtual: Zoom</w:t>
      </w:r>
      <w:r>
        <w:rPr>
          <w:rFonts w:hint="default"/>
          <w:lang w:val="en-US"/>
        </w:rPr>
        <w:t xml:space="preserve"> </w:t>
      </w:r>
      <w:r>
        <w:rPr>
          <w:rFonts w:hint="default" w:ascii="Calibri" w:hAnsi="Calibri" w:eastAsia="Calibri"/>
          <w:sz w:val="22"/>
          <w:szCs w:val="24"/>
          <w:lang w:val="en"/>
        </w:rPr>
        <w:t>Meeting ID 863 7120 3235</w:t>
      </w:r>
      <w:r>
        <w:rPr>
          <w:rFonts w:hint="default" w:ascii="Calibri" w:hAnsi="Calibri" w:eastAsia="Calibri"/>
          <w:sz w:val="22"/>
          <w:szCs w:val="24"/>
          <w:lang w:val="en-US"/>
        </w:rPr>
        <w:t xml:space="preserve">; </w:t>
      </w:r>
      <w:r>
        <w:rPr>
          <w:rFonts w:hint="default" w:ascii="Calibri" w:hAnsi="Calibri" w:eastAsia="Calibri"/>
          <w:sz w:val="22"/>
          <w:szCs w:val="24"/>
          <w:lang w:val="en"/>
        </w:rPr>
        <w:t>Code: 628279</w:t>
      </w:r>
    </w:p>
    <w:p>
      <w:pPr>
        <w:pStyle w:val="249"/>
      </w:pPr>
    </w:p>
    <w:p>
      <w:pPr>
        <w:pStyle w:val="249"/>
        <w:rPr>
          <w:rFonts w:hint="default"/>
          <w:lang w:val="en-US"/>
        </w:rPr>
      </w:pPr>
      <w:r>
        <w:rPr>
          <w:rFonts w:hint="default"/>
          <w:lang w:val="en-US"/>
        </w:rPr>
        <w:t>MEETING OPENED, 7:05pm</w:t>
      </w:r>
    </w:p>
    <w:p>
      <w:pPr>
        <w:pStyle w:val="249"/>
      </w:pPr>
      <w:r>
        <w:rPr>
          <w:rFonts w:hint="default"/>
          <w:lang w:val="en-US"/>
        </w:rPr>
        <w:t>CPC i</w:t>
      </w:r>
      <w:r>
        <w:t>n attendance:</w:t>
      </w:r>
    </w:p>
    <w:p>
      <w:pPr>
        <w:pStyle w:val="249"/>
        <w:rPr>
          <w:rFonts w:hint="default"/>
          <w:lang w:val="en-US"/>
        </w:rPr>
      </w:pPr>
      <w:r>
        <w:t>Lynne Spencer – LS; Paul Spirn – PS; Ellen Steeves – ES; Mirjana Maksimovic – MM; Mickey Long – ML; Ellen Goldberg - EG</w:t>
      </w:r>
      <w:r>
        <w:rPr>
          <w:rFonts w:hint="default"/>
          <w:lang w:val="en-US"/>
        </w:rPr>
        <w:t>; Austin Antrim - AA; Nancy Cantelmo - NC</w:t>
      </w:r>
    </w:p>
    <w:p>
      <w:pPr>
        <w:pStyle w:val="249"/>
        <w:rPr>
          <w:rFonts w:hint="default"/>
          <w:lang w:val="en-US"/>
        </w:rPr>
      </w:pPr>
      <w:r>
        <w:rPr>
          <w:rFonts w:hint="default"/>
          <w:lang w:val="en-US"/>
        </w:rPr>
        <w:t xml:space="preserve"> </w:t>
      </w:r>
    </w:p>
    <w:p>
      <w:pPr>
        <w:rPr>
          <w:rFonts w:hint="default"/>
          <w:lang w:val="en-US"/>
        </w:rPr>
      </w:pPr>
      <w:r>
        <w:t>Public in attendance (</w:t>
      </w:r>
      <w:r>
        <w:rPr>
          <w:rFonts w:hint="default"/>
          <w:lang w:val="en-US"/>
        </w:rPr>
        <w:t xml:space="preserve">at start of meeting; necessarily </w:t>
      </w:r>
      <w:r>
        <w:t xml:space="preserve">incomplete):  </w:t>
      </w:r>
      <w:r>
        <w:rPr>
          <w:rFonts w:hint="default"/>
          <w:lang w:val="en-US"/>
        </w:rPr>
        <w:t>Diane Monteith, Emily Potts, Vi Patek, Kathleen Marden, Barbara Beatty, Michele Capano, Christian Bauta, Julie Tarmy, William Burton</w:t>
      </w:r>
    </w:p>
    <w:p>
      <w:pPr>
        <w:rPr>
          <w:rFonts w:hint="default"/>
          <w:lang w:val="en-US"/>
        </w:rPr>
      </w:pPr>
    </w:p>
    <w:p>
      <w:pPr>
        <w:rPr>
          <w:rFonts w:hint="default"/>
          <w:lang w:val="en-US"/>
        </w:rPr>
      </w:pPr>
      <w:r>
        <w:rPr>
          <w:rFonts w:hint="default"/>
          <w:lang w:val="en-US"/>
        </w:rPr>
        <w:t>OLD BUSINESS [Chair deferred Old Business in favor of several New Business items and Questions from the Public]</w:t>
      </w:r>
    </w:p>
    <w:p>
      <w:pPr>
        <w:rPr>
          <w:rFonts w:hint="default"/>
          <w:lang w:val="en-US"/>
        </w:rPr>
      </w:pPr>
    </w:p>
    <w:p>
      <w:pPr>
        <w:rPr>
          <w:rFonts w:hint="default"/>
          <w:lang w:val="en-US"/>
        </w:rPr>
      </w:pPr>
      <w:r>
        <w:rPr>
          <w:rFonts w:hint="default"/>
          <w:lang w:val="en-US"/>
        </w:rPr>
        <w:t xml:space="preserve">NEW BUSINESS </w:t>
      </w:r>
    </w:p>
    <w:p>
      <w:pPr>
        <w:rPr>
          <w:rFonts w:hint="default"/>
          <w:lang w:val="en-US"/>
        </w:rPr>
      </w:pPr>
    </w:p>
    <w:p>
      <w:pPr>
        <w:rPr>
          <w:rFonts w:hint="default"/>
          <w:lang w:val="en-US"/>
        </w:rPr>
      </w:pPr>
      <w:r>
        <w:rPr>
          <w:rFonts w:hint="default"/>
          <w:lang w:val="en-US"/>
        </w:rPr>
        <w:t>Introductions [LS]:  The Chair introduced the members of the CPC, giving the appointment credentials and term for each.</w:t>
      </w:r>
    </w:p>
    <w:p>
      <w:pPr>
        <w:rPr>
          <w:rFonts w:hint="default"/>
          <w:lang w:val="en-US"/>
        </w:rPr>
      </w:pPr>
    </w:p>
    <w:p>
      <w:pPr>
        <w:rPr>
          <w:rFonts w:hint="default"/>
          <w:lang w:val="en-US"/>
        </w:rPr>
      </w:pPr>
      <w:r>
        <w:rPr>
          <w:rFonts w:hint="default"/>
          <w:lang w:val="en-US"/>
        </w:rPr>
        <w:t xml:space="preserve">General Information regarding CPA [LS]: The Chair gave an overview of: </w:t>
      </w:r>
    </w:p>
    <w:p>
      <w:pPr>
        <w:ind w:firstLine="420" w:firstLineChars="0"/>
        <w:rPr>
          <w:rFonts w:hint="default"/>
          <w:lang w:val="en-US"/>
        </w:rPr>
      </w:pPr>
      <w:r>
        <w:rPr>
          <w:rFonts w:hint="default"/>
          <w:lang w:val="en-US"/>
        </w:rPr>
        <w:t xml:space="preserve">--History of CPA funding in Massachusetts (now elected by 170 of 350 towns and cities), and in Nahant (FY 2021 initially </w:t>
      </w:r>
      <w:r>
        <w:rPr>
          <w:rFonts w:hint="default"/>
          <w:lang w:val="en-US"/>
        </w:rPr>
        <w:tab/>
      </w:r>
      <w:r>
        <w:rPr>
          <w:rFonts w:hint="default"/>
          <w:lang w:val="en-US"/>
        </w:rPr>
        <w:tab/>
      </w:r>
      <w:r>
        <w:rPr>
          <w:rFonts w:hint="default"/>
          <w:lang w:val="en-US"/>
        </w:rPr>
        <w:t xml:space="preserve">predicted Comm match of 50% of Property Tax surcharge of $220K = $110K, actually 69.4% of $250K surcharge = $175K, </w:t>
      </w:r>
      <w:r>
        <w:rPr>
          <w:rFonts w:hint="default"/>
          <w:lang w:val="en-US"/>
        </w:rPr>
        <w:tab/>
      </w:r>
      <w:r>
        <w:rPr>
          <w:rFonts w:hint="default"/>
          <w:lang w:val="en-US"/>
        </w:rPr>
        <w:tab/>
      </w:r>
      <w:r>
        <w:rPr>
          <w:rFonts w:hint="default"/>
          <w:lang w:val="en-US"/>
        </w:rPr>
        <w:t>additional funding carried over).</w:t>
      </w:r>
    </w:p>
    <w:p>
      <w:pPr>
        <w:ind w:firstLine="420" w:firstLineChars="0"/>
        <w:rPr>
          <w:rFonts w:hint="default"/>
          <w:lang w:val="en-US"/>
        </w:rPr>
      </w:pPr>
      <w:r>
        <w:rPr>
          <w:rFonts w:hint="default"/>
          <w:lang w:val="en-US"/>
        </w:rPr>
        <w:t xml:space="preserve">--Categories of CPA eligible projects (subject to constraints): 1. Open space and recreation.  2. Historic preservation.  </w:t>
      </w:r>
    </w:p>
    <w:p>
      <w:pPr>
        <w:numPr>
          <w:ilvl w:val="0"/>
          <w:numId w:val="11"/>
        </w:numPr>
        <w:ind w:firstLine="420" w:firstLineChars="0"/>
        <w:rPr>
          <w:rFonts w:hint="default"/>
          <w:lang w:val="en-US"/>
        </w:rPr>
      </w:pPr>
      <w:r>
        <w:rPr>
          <w:rFonts w:hint="default"/>
          <w:lang w:val="en-US"/>
        </w:rPr>
        <w:t xml:space="preserve">Affordable housing. </w:t>
      </w:r>
    </w:p>
    <w:p>
      <w:pPr>
        <w:numPr>
          <w:ilvl w:val="0"/>
          <w:numId w:val="0"/>
        </w:numPr>
        <w:rPr>
          <w:rFonts w:hint="default"/>
          <w:lang w:val="en-US"/>
        </w:rPr>
      </w:pPr>
      <w:r>
        <w:rPr>
          <w:rFonts w:hint="default"/>
          <w:lang w:val="en-US"/>
        </w:rPr>
        <w:tab/>
      </w:r>
      <w:r>
        <w:rPr>
          <w:rFonts w:hint="default"/>
          <w:lang w:val="en-US"/>
        </w:rPr>
        <w:t xml:space="preserve">--Calendar: Project proposals for FY2022 submitted by applicants to the CPC and approved by the CPC for adoption at the </w:t>
      </w:r>
      <w:r>
        <w:rPr>
          <w:rFonts w:hint="default"/>
          <w:lang w:val="en-US"/>
        </w:rPr>
        <w:tab/>
      </w:r>
      <w:r>
        <w:rPr>
          <w:rFonts w:hint="default"/>
          <w:lang w:val="en-US"/>
        </w:rPr>
        <w:t xml:space="preserve">next upcoming Town Meeting (May 15, 2021) will be made available to the Nahant Advisory and Finance Committee (Fin Comm) </w:t>
      </w:r>
      <w:r>
        <w:rPr>
          <w:rFonts w:hint="default"/>
          <w:lang w:val="en-US"/>
        </w:rPr>
        <w:tab/>
      </w:r>
      <w:r>
        <w:rPr>
          <w:rFonts w:hint="default"/>
          <w:lang w:val="en-US"/>
        </w:rPr>
        <w:t xml:space="preserve">by April 9 in order to meet their publication deadline for inclusion in their Report and Recommendations to Town Meeting. </w:t>
      </w:r>
      <w:r>
        <w:rPr>
          <w:rFonts w:hint="default"/>
          <w:lang w:val="en-US"/>
        </w:rPr>
        <w:tab/>
      </w:r>
      <w:r>
        <w:rPr>
          <w:rFonts w:hint="default"/>
          <w:lang w:val="en-US"/>
        </w:rPr>
        <w:t xml:space="preserve">Since FY2021 CPC proposals and Fin Comm recommendations were not reviewed at the 2020 Town Meeting, those articles </w:t>
      </w:r>
      <w:r>
        <w:rPr>
          <w:rFonts w:hint="default"/>
          <w:lang w:val="en-US"/>
        </w:rPr>
        <w:tab/>
      </w:r>
      <w:r>
        <w:rPr>
          <w:rFonts w:hint="default"/>
          <w:lang w:val="en-US"/>
        </w:rPr>
        <w:t xml:space="preserve">could be reconsidered and will need to endorsed by the CPC (and presumably by Fin Com, to be carried forward for </w:t>
      </w:r>
      <w:r>
        <w:rPr>
          <w:rFonts w:hint="default"/>
          <w:lang w:val="en-US"/>
        </w:rPr>
        <w:tab/>
      </w:r>
      <w:r>
        <w:rPr>
          <w:rFonts w:hint="default"/>
          <w:lang w:val="en-US"/>
        </w:rPr>
        <w:t xml:space="preserve">consideration at the next upcoming Town Meeting.  </w:t>
      </w:r>
    </w:p>
    <w:p>
      <w:pPr>
        <w:numPr>
          <w:ilvl w:val="0"/>
          <w:numId w:val="0"/>
        </w:numPr>
        <w:ind w:firstLine="420" w:firstLineChars="0"/>
        <w:rPr>
          <w:rFonts w:hint="default"/>
          <w:lang w:val="en-US"/>
        </w:rPr>
      </w:pPr>
    </w:p>
    <w:p>
      <w:pPr>
        <w:numPr>
          <w:ilvl w:val="0"/>
          <w:numId w:val="0"/>
        </w:numPr>
        <w:rPr>
          <w:rFonts w:hint="default"/>
          <w:lang w:val="en-US"/>
        </w:rPr>
      </w:pPr>
      <w:r>
        <w:rPr>
          <w:rFonts w:hint="default"/>
          <w:lang w:val="en-US"/>
        </w:rPr>
        <w:t>Questions and Input from the Public were invited and discussed, and included:</w:t>
      </w:r>
    </w:p>
    <w:p>
      <w:pPr>
        <w:numPr>
          <w:ilvl w:val="0"/>
          <w:numId w:val="0"/>
        </w:numPr>
        <w:rPr>
          <w:rFonts w:hint="default"/>
          <w:lang w:val="en-US"/>
        </w:rPr>
      </w:pPr>
      <w:r>
        <w:rPr>
          <w:rFonts w:hint="default"/>
          <w:lang w:val="en-US"/>
        </w:rPr>
        <w:t>[CB]: When are funds of projects approved by Town Meeting available? [LS]: As soon as directly after Town Meeting, but generally on the start of FY2022, July 1, 2021.10.18</w:t>
      </w:r>
    </w:p>
    <w:p>
      <w:pPr>
        <w:numPr>
          <w:ilvl w:val="0"/>
          <w:numId w:val="0"/>
        </w:numPr>
        <w:rPr>
          <w:rFonts w:hint="default"/>
          <w:lang w:val="en-US"/>
        </w:rPr>
      </w:pPr>
    </w:p>
    <w:p>
      <w:pPr>
        <w:numPr>
          <w:ilvl w:val="0"/>
          <w:numId w:val="0"/>
        </w:numPr>
        <w:rPr>
          <w:rFonts w:hint="default"/>
          <w:lang w:val="en-US"/>
        </w:rPr>
      </w:pPr>
      <w:r>
        <w:rPr>
          <w:rFonts w:hint="default"/>
          <w:lang w:val="en-US"/>
        </w:rPr>
        <w:t>[VP]: Nahant DPW and SWIM are planning to request funding for modifying tree plantings to make maintenance and watering more efficient. Is this a permitted use of CPC funds? [LS]: Yes, for Town owned trees.</w:t>
      </w:r>
    </w:p>
    <w:p>
      <w:pPr>
        <w:numPr>
          <w:ilvl w:val="0"/>
          <w:numId w:val="0"/>
        </w:numPr>
        <w:rPr>
          <w:rFonts w:hint="default"/>
          <w:lang w:val="en-US"/>
        </w:rPr>
      </w:pPr>
    </w:p>
    <w:p>
      <w:pPr>
        <w:numPr>
          <w:ilvl w:val="0"/>
          <w:numId w:val="0"/>
        </w:numPr>
        <w:rPr>
          <w:rFonts w:hint="default"/>
          <w:lang w:val="en-US"/>
        </w:rPr>
      </w:pPr>
      <w:r>
        <w:rPr>
          <w:rFonts w:hint="default"/>
          <w:lang w:val="en-US"/>
        </w:rPr>
        <w:t xml:space="preserve">[WB]: New Nahant Land Company is considering a proposal to fund a plan for the future use of the property of the Nahant Country Club, which might well provide expanded use of recreation and open space resources by Town residents. [LS] CPC funds can be used for planning studies for projects that would themselves be fundable under the CPA.  Whether the study mentionned would qualify depends upon the details of proposed uses. </w:t>
      </w:r>
    </w:p>
    <w:p>
      <w:pPr>
        <w:numPr>
          <w:ilvl w:val="0"/>
          <w:numId w:val="0"/>
        </w:numPr>
        <w:rPr>
          <w:rFonts w:hint="default"/>
          <w:lang w:val="en-US"/>
        </w:rPr>
      </w:pPr>
    </w:p>
    <w:p>
      <w:pPr>
        <w:numPr>
          <w:ilvl w:val="0"/>
          <w:numId w:val="0"/>
        </w:numPr>
        <w:rPr>
          <w:rFonts w:hint="default"/>
          <w:lang w:val="en-US"/>
        </w:rPr>
      </w:pPr>
      <w:r>
        <w:rPr>
          <w:rFonts w:hint="default"/>
          <w:lang w:val="en-US"/>
        </w:rPr>
        <w:t>[JT]: A grant for the preservation of a standpipe on Maolis Road is likely.</w:t>
      </w:r>
    </w:p>
    <w:p>
      <w:pPr>
        <w:numPr>
          <w:ilvl w:val="0"/>
          <w:numId w:val="0"/>
        </w:numPr>
        <w:rPr>
          <w:rFonts w:hint="default"/>
          <w:lang w:val="en-US"/>
        </w:rPr>
      </w:pPr>
    </w:p>
    <w:p>
      <w:pPr>
        <w:numPr>
          <w:ilvl w:val="0"/>
          <w:numId w:val="0"/>
        </w:numPr>
        <w:rPr>
          <w:rFonts w:hint="default"/>
          <w:lang w:val="en-US"/>
        </w:rPr>
      </w:pPr>
      <w:r>
        <w:rPr>
          <w:rFonts w:hint="default"/>
          <w:lang w:val="en-US"/>
        </w:rPr>
        <w:t>[BB]: Should there be questions on the CPA proposal application referring to differently abled users? [NC] Open Space Committee are working with MA Comm officials to consider applicability of ADA guidelines.</w:t>
      </w:r>
    </w:p>
    <w:p>
      <w:pPr>
        <w:numPr>
          <w:ilvl w:val="0"/>
          <w:numId w:val="0"/>
        </w:numPr>
        <w:rPr>
          <w:rFonts w:hint="default"/>
          <w:lang w:val="en-US"/>
        </w:rPr>
      </w:pPr>
    </w:p>
    <w:p>
      <w:pPr>
        <w:numPr>
          <w:ilvl w:val="0"/>
          <w:numId w:val="0"/>
        </w:numPr>
        <w:rPr>
          <w:rFonts w:hint="default"/>
          <w:lang w:val="en-US"/>
        </w:rPr>
      </w:pPr>
      <w:r>
        <w:rPr>
          <w:rFonts w:hint="default"/>
          <w:lang w:val="en-US"/>
        </w:rPr>
        <w:t>Administrative Budget allocation:</w:t>
      </w:r>
    </w:p>
    <w:p>
      <w:pPr>
        <w:numPr>
          <w:ilvl w:val="0"/>
          <w:numId w:val="0"/>
        </w:numPr>
        <w:rPr>
          <w:rFonts w:hint="default"/>
          <w:lang w:val="en-US"/>
        </w:rPr>
      </w:pPr>
      <w:r>
        <w:rPr>
          <w:rFonts w:hint="default"/>
          <w:lang w:val="en-US"/>
        </w:rPr>
        <w:t>After discussion of the use of administrative funds for CPC expenses including annual Massachusetts CPA Coalition dues ($875), contribution to the publication of the Fin Comm Report and Recommendations to Town Meeting, and support for applicants to obtain contractor and other expert opinion in formulating budgets for their proposals, an allocation of $10,000 was discussed.</w:t>
      </w:r>
    </w:p>
    <w:p>
      <w:pPr>
        <w:numPr>
          <w:ilvl w:val="0"/>
          <w:numId w:val="0"/>
        </w:numPr>
        <w:rPr>
          <w:rFonts w:hint="default"/>
          <w:lang w:val="en-US"/>
        </w:rPr>
      </w:pPr>
      <w:r>
        <w:rPr>
          <w:rFonts w:hint="default"/>
          <w:lang w:val="en-US"/>
        </w:rPr>
        <w:t>Moved to approve by ML; Seconded by ES</w:t>
      </w:r>
    </w:p>
    <w:p>
      <w:pPr>
        <w:numPr>
          <w:ilvl w:val="0"/>
          <w:numId w:val="0"/>
        </w:numPr>
        <w:rPr>
          <w:rFonts w:hint="default"/>
          <w:lang w:val="en-US"/>
        </w:rPr>
      </w:pPr>
      <w:r>
        <w:rPr>
          <w:rFonts w:hint="default"/>
          <w:lang w:val="en-US"/>
        </w:rPr>
        <w:t>For:unanimous</w:t>
      </w:r>
    </w:p>
    <w:p>
      <w:pPr>
        <w:numPr>
          <w:ilvl w:val="0"/>
          <w:numId w:val="0"/>
        </w:numPr>
        <w:rPr>
          <w:rFonts w:hint="default"/>
          <w:lang w:val="en-US"/>
        </w:rPr>
      </w:pPr>
      <w:r>
        <w:rPr>
          <w:rFonts w:hint="default"/>
          <w:lang w:val="en-US"/>
        </w:rPr>
        <w:t>Against: none</w:t>
      </w:r>
    </w:p>
    <w:p>
      <w:pPr>
        <w:numPr>
          <w:ilvl w:val="0"/>
          <w:numId w:val="0"/>
        </w:numPr>
        <w:rPr>
          <w:rFonts w:hint="default"/>
          <w:lang w:val="en-US"/>
        </w:rPr>
      </w:pPr>
      <w:r>
        <w:rPr>
          <w:rFonts w:hint="default"/>
          <w:lang w:val="en-US"/>
        </w:rPr>
        <w:t>Abstain: none</w:t>
      </w:r>
    </w:p>
    <w:p>
      <w:pPr>
        <w:numPr>
          <w:ilvl w:val="0"/>
          <w:numId w:val="0"/>
        </w:numPr>
        <w:rPr>
          <w:rFonts w:hint="default"/>
          <w:lang w:val="en-US"/>
        </w:rPr>
      </w:pPr>
      <w:r>
        <w:rPr>
          <w:rFonts w:hint="default"/>
          <w:lang w:val="en-US"/>
        </w:rPr>
        <w:t>APPROVED</w:t>
      </w:r>
    </w:p>
    <w:p>
      <w:pPr>
        <w:numPr>
          <w:ilvl w:val="0"/>
          <w:numId w:val="0"/>
        </w:numPr>
        <w:tabs>
          <w:tab w:val="left" w:pos="6000"/>
        </w:tabs>
        <w:rPr>
          <w:rFonts w:hint="default"/>
          <w:lang w:val="en-US"/>
        </w:rPr>
      </w:pPr>
    </w:p>
    <w:p>
      <w:pPr>
        <w:numPr>
          <w:ilvl w:val="0"/>
          <w:numId w:val="0"/>
        </w:numPr>
        <w:rPr>
          <w:rFonts w:hint="default"/>
          <w:lang w:val="en-US"/>
        </w:rPr>
      </w:pPr>
      <w:r>
        <w:rPr>
          <w:rFonts w:hint="default"/>
          <w:lang w:val="en-US"/>
        </w:rPr>
        <w:t>OLD BUSINESS</w:t>
      </w:r>
    </w:p>
    <w:p>
      <w:pPr>
        <w:numPr>
          <w:ilvl w:val="0"/>
          <w:numId w:val="0"/>
        </w:numPr>
        <w:rPr>
          <w:rFonts w:hint="default"/>
          <w:lang w:val="en-US"/>
        </w:rPr>
      </w:pPr>
    </w:p>
    <w:p>
      <w:pPr>
        <w:numPr>
          <w:ilvl w:val="0"/>
          <w:numId w:val="0"/>
        </w:numPr>
        <w:rPr>
          <w:rFonts w:hint="default"/>
          <w:lang w:val="en-US"/>
        </w:rPr>
      </w:pPr>
      <w:r>
        <w:rPr>
          <w:rFonts w:hint="default"/>
          <w:lang w:val="en-US"/>
        </w:rPr>
        <w:t>Minutes of Jan 13, 2021 Meeting</w:t>
      </w:r>
    </w:p>
    <w:p>
      <w:pPr>
        <w:numPr>
          <w:ilvl w:val="0"/>
          <w:numId w:val="0"/>
        </w:numPr>
        <w:rPr>
          <w:rFonts w:hint="default"/>
          <w:lang w:val="en-US"/>
        </w:rPr>
      </w:pPr>
      <w:r>
        <w:rPr>
          <w:rFonts w:hint="default"/>
          <w:lang w:val="en-US"/>
        </w:rPr>
        <w:t>Moved to approve as emended by ML; Seconded by EG</w:t>
      </w:r>
    </w:p>
    <w:p>
      <w:pPr>
        <w:numPr>
          <w:ilvl w:val="0"/>
          <w:numId w:val="0"/>
        </w:numPr>
        <w:rPr>
          <w:rFonts w:hint="default"/>
          <w:lang w:val="en-US"/>
        </w:rPr>
      </w:pPr>
      <w:r>
        <w:rPr>
          <w:rFonts w:hint="default"/>
          <w:lang w:val="en-US"/>
        </w:rPr>
        <w:t xml:space="preserve">For: PS, ES, MM, ML, ES, LS </w:t>
      </w:r>
    </w:p>
    <w:p>
      <w:pPr>
        <w:numPr>
          <w:ilvl w:val="0"/>
          <w:numId w:val="0"/>
        </w:numPr>
        <w:rPr>
          <w:rFonts w:hint="default"/>
          <w:lang w:val="en-US"/>
        </w:rPr>
      </w:pPr>
      <w:r>
        <w:rPr>
          <w:rFonts w:hint="default"/>
          <w:lang w:val="en-US"/>
        </w:rPr>
        <w:t>Against: none</w:t>
      </w:r>
    </w:p>
    <w:p>
      <w:pPr>
        <w:numPr>
          <w:ilvl w:val="0"/>
          <w:numId w:val="0"/>
        </w:numPr>
        <w:rPr>
          <w:rFonts w:hint="default"/>
          <w:lang w:val="en-US"/>
        </w:rPr>
      </w:pPr>
      <w:r>
        <w:rPr>
          <w:rFonts w:hint="default"/>
          <w:lang w:val="en-US"/>
        </w:rPr>
        <w:t>Abstain: AA, NC</w:t>
      </w:r>
    </w:p>
    <w:p>
      <w:pPr>
        <w:numPr>
          <w:ilvl w:val="0"/>
          <w:numId w:val="0"/>
        </w:numPr>
        <w:rPr>
          <w:rFonts w:hint="default"/>
          <w:lang w:val="en-US"/>
        </w:rPr>
      </w:pPr>
      <w:r>
        <w:rPr>
          <w:rFonts w:hint="default"/>
          <w:lang w:val="en-US"/>
        </w:rPr>
        <w:t>APPROVED</w:t>
      </w:r>
    </w:p>
    <w:p>
      <w:pPr>
        <w:numPr>
          <w:ilvl w:val="0"/>
          <w:numId w:val="0"/>
        </w:numPr>
        <w:rPr>
          <w:rFonts w:hint="default"/>
          <w:lang w:val="en-US"/>
        </w:rPr>
      </w:pPr>
    </w:p>
    <w:p>
      <w:pPr>
        <w:numPr>
          <w:ilvl w:val="0"/>
          <w:numId w:val="0"/>
        </w:numPr>
        <w:rPr>
          <w:rFonts w:hint="default"/>
          <w:lang w:val="en-US"/>
        </w:rPr>
      </w:pPr>
      <w:r>
        <w:rPr>
          <w:rFonts w:hint="default"/>
          <w:lang w:val="en-US"/>
        </w:rPr>
        <w:t>Adjournment</w:t>
      </w:r>
    </w:p>
    <w:p>
      <w:pPr>
        <w:numPr>
          <w:ilvl w:val="0"/>
          <w:numId w:val="0"/>
        </w:numPr>
        <w:rPr>
          <w:rFonts w:hint="default"/>
          <w:lang w:val="en-US"/>
        </w:rPr>
      </w:pPr>
      <w:r>
        <w:rPr>
          <w:rFonts w:hint="default"/>
          <w:lang w:val="en-US"/>
        </w:rPr>
        <w:t>Moved to Adjourn, 8:05PM by PS; Seconded by ML</w:t>
      </w:r>
    </w:p>
    <w:p>
      <w:pPr>
        <w:numPr>
          <w:ilvl w:val="0"/>
          <w:numId w:val="0"/>
        </w:numPr>
        <w:rPr>
          <w:rFonts w:hint="default"/>
          <w:lang w:val="en-US"/>
        </w:rPr>
      </w:pPr>
      <w:r>
        <w:rPr>
          <w:rFonts w:hint="default"/>
          <w:lang w:val="en-US"/>
        </w:rPr>
        <w:t xml:space="preserve">For: unanimous </w:t>
      </w:r>
    </w:p>
    <w:p>
      <w:pPr>
        <w:pStyle w:val="249"/>
        <w:rPr>
          <w:rFonts w:hint="default"/>
          <w:lang w:val="en-US"/>
        </w:rPr>
      </w:pPr>
      <w:r>
        <w:rPr>
          <w:rFonts w:hint="default"/>
          <w:lang w:val="en-US"/>
        </w:rPr>
        <w:t>Against: none</w:t>
      </w:r>
    </w:p>
    <w:p>
      <w:pPr>
        <w:pStyle w:val="249"/>
        <w:rPr>
          <w:rFonts w:hint="default"/>
          <w:lang w:val="en-US"/>
        </w:rPr>
      </w:pPr>
      <w:r>
        <w:rPr>
          <w:rFonts w:hint="default"/>
          <w:lang w:val="en-US"/>
        </w:rPr>
        <w:t>Abstain: none</w:t>
      </w:r>
    </w:p>
    <w:p>
      <w:pPr>
        <w:pStyle w:val="249"/>
        <w:rPr>
          <w:rFonts w:hint="default"/>
          <w:lang w:val="en-US"/>
        </w:rPr>
      </w:pPr>
      <w:r>
        <w:rPr>
          <w:rFonts w:hint="default"/>
          <w:lang w:val="en-US"/>
        </w:rPr>
        <w:t>APPROVED</w:t>
      </w:r>
    </w:p>
    <w:p>
      <w:pPr>
        <w:pStyle w:val="249"/>
        <w:rPr>
          <w:rFonts w:hint="default"/>
          <w:lang w:val="en-US"/>
        </w:rPr>
      </w:pPr>
    </w:p>
    <w:p>
      <w:pPr>
        <w:pStyle w:val="249"/>
        <w:rPr>
          <w:rFonts w:hint="default"/>
          <w:lang w:val="en-US"/>
        </w:rPr>
      </w:pPr>
      <w:r>
        <w:rPr>
          <w:rFonts w:hint="default"/>
          <w:lang w:val="en-US"/>
        </w:rPr>
        <w:t>Respectfully submitted and approved, Oct 18, 2021</w:t>
      </w:r>
    </w:p>
    <w:p>
      <w:pPr>
        <w:pStyle w:val="249"/>
      </w:pPr>
      <w:r>
        <w:t>Paul Spirn</w:t>
      </w:r>
    </w:p>
    <w:p>
      <w:pPr>
        <w:pStyle w:val="249"/>
        <w:rPr>
          <w:rFonts w:hint="default"/>
          <w:lang w:val="en-US"/>
        </w:rPr>
      </w:pPr>
      <w:r>
        <w:t>Nahant CPC, Recording Secretary</w:t>
      </w:r>
    </w:p>
    <w:sectPr>
      <w:pgSz w:w="12240" w:h="15840"/>
      <w:pgMar w:top="720" w:right="720" w:bottom="720" w:left="72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0">
    <w:nsid w:val="7C0326EE"/>
    <w:multiLevelType w:val="singleLevel"/>
    <w:tmpl w:val="7C0326EE"/>
    <w:lvl w:ilvl="0" w:tentative="0">
      <w:start w:val="3"/>
      <w:numFmt w:val="decimal"/>
      <w:suff w:val="space"/>
      <w:lvlText w:val="%1."/>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BF66D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3890809"/>
    <w:rsid w:val="09AB38AA"/>
    <w:rsid w:val="0A7E5130"/>
    <w:rsid w:val="0FA510CB"/>
    <w:rsid w:val="11BF66D5"/>
    <w:rsid w:val="1F6379F5"/>
    <w:rsid w:val="291412EB"/>
    <w:rsid w:val="4135011B"/>
    <w:rsid w:val="47015106"/>
    <w:rsid w:val="552450A6"/>
    <w:rsid w:val="6D500ACD"/>
    <w:rsid w:val="702A4101"/>
    <w:rsid w:val="7A9279AA"/>
    <w:rsid w:val="7F6C4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qFormat="1"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qFormat="1"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qFormat="1"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qFormat="1"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qFormat="1"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qFormat="1" w:unhideWhenUsed="0" w:uiPriority="0" w:semiHidden="0" w:name="Table Grid 4"/>
    <w:lsdException w:qFormat="1" w:unhideWhenUsed="0" w:uiPriority="0" w:semiHidden="0" w:name="Table Grid 5"/>
    <w:lsdException w:unhideWhenUsed="0" w:uiPriority="0" w:semiHidden="0" w:name="Table Grid 6"/>
    <w:lsdException w:qFormat="1" w:unhideWhenUsed="0" w:uiPriority="0" w:semiHidden="0" w:name="Table Grid 7"/>
    <w:lsdException w:qFormat="1" w:unhideWhenUsed="0" w:uiPriority="0" w:semiHidden="0" w:name="Table Grid 8"/>
    <w:lsdException w:unhideWhenUsed="0" w:uiPriority="0" w:semiHidden="0" w:name="Table List 1"/>
    <w:lsdException w:qFormat="1" w:unhideWhenUsed="0" w:uiPriority="0" w:semiHidden="0" w:name="Table List 2"/>
    <w:lsdException w:unhideWhenUsed="0" w:uiPriority="0" w:semiHidden="0" w:name="Table List 3"/>
    <w:lsdException w:qFormat="1" w:unhideWhenUsed="0" w:uiPriority="0" w:semiHidden="0" w:name="Table List 4"/>
    <w:lsdException w:qFormat="1" w:unhideWhenUsed="0" w:uiPriority="0" w:semiHidden="0" w:name="Table List 5"/>
    <w:lsdException w:unhideWhenUsed="0" w:uiPriority="0" w:semiHidden="0" w:name="Table List 6"/>
    <w:lsdException w:qFormat="1" w:unhideWhenUsed="0" w:uiPriority="0" w:semiHidden="0" w:name="Table List 7"/>
    <w:lsdException w:unhideWhenUsed="0" w:uiPriority="0" w:semiHidden="0" w:name="Table List 8"/>
    <w:lsdException w:qFormat="1"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qFormat="1" w:unhideWhenUsed="0" w:uiPriority="62" w:semiHidden="0" w:name="Light Grid"/>
    <w:lsdException w:qFormat="1" w:unhideWhenUsed="0" w:uiPriority="63" w:semiHidden="0" w:name="Medium Shading 1"/>
    <w:lsdException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unhideWhenUsed="0" w:uiPriority="60" w:semiHidden="0" w:name="Light Shading Accent 4"/>
    <w:lsdException w:unhideWhenUsed="0" w:uiPriority="61" w:semiHidden="0" w:name="Light List Accent 4"/>
    <w:lsdException w:qFormat="1" w:unhideWhenUsed="0" w:uiPriority="62" w:semiHidden="0" w:name="Light Grid Accent 4"/>
    <w:lsdException w:qFormat="1" w:unhideWhenUsed="0" w:uiPriority="63" w:semiHidden="0" w:name="Medium Shading 1 Accent 4"/>
    <w:lsdException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qFormat="1" w:unhideWhenUsed="0" w:uiPriority="63" w:semiHidden="0" w:name="Medium Shading 1 Accent 6"/>
    <w:lsdException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uiPriority w:val="0"/>
    <w:pPr>
      <w:spacing w:after="120"/>
      <w:ind w:left="420" w:leftChars="200"/>
    </w:pPr>
  </w:style>
  <w:style w:type="paragraph" w:styleId="20">
    <w:name w:val="Body Text First Indent 2"/>
    <w:basedOn w:val="19"/>
    <w:uiPriority w:val="0"/>
    <w:pPr>
      <w:ind w:firstLine="420" w:firstLineChars="200"/>
    </w:pPr>
  </w:style>
  <w:style w:type="paragraph" w:styleId="21">
    <w:name w:val="Body Text Indent 2"/>
    <w:basedOn w:val="1"/>
    <w:uiPriority w:val="0"/>
    <w:pPr>
      <w:spacing w:after="120" w:line="480" w:lineRule="auto"/>
      <w:ind w:left="420" w:leftChars="200"/>
    </w:pPr>
  </w:style>
  <w:style w:type="paragraph" w:styleId="22">
    <w:name w:val="Body Text Indent 3"/>
    <w:basedOn w:val="1"/>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uiPriority w:val="0"/>
    <w:pPr>
      <w:snapToGrid w:val="0"/>
    </w:pPr>
    <w:rPr>
      <w:rFonts w:ascii="Arial" w:hAnsi="Arial" w:cs="Arial"/>
    </w:rPr>
  </w:style>
  <w:style w:type="character" w:styleId="36">
    <w:name w:val="FollowedHyperlink"/>
    <w:basedOn w:val="11"/>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uiPriority w:val="0"/>
    <w:rPr>
      <w:vertAlign w:val="superscript"/>
    </w:rPr>
  </w:style>
  <w:style w:type="paragraph" w:styleId="39">
    <w:name w:val="footnote text"/>
    <w:basedOn w:val="1"/>
    <w:uiPriority w:val="0"/>
    <w:pPr>
      <w:snapToGrid w:val="0"/>
      <w:jc w:val="left"/>
    </w:pPr>
    <w:rPr>
      <w:sz w:val="18"/>
      <w:szCs w:val="18"/>
    </w:rPr>
  </w:style>
  <w:style w:type="paragraph" w:styleId="40">
    <w:name w:val="header"/>
    <w:basedOn w:val="1"/>
    <w:uiPriority w:val="0"/>
    <w:pPr>
      <w:tabs>
        <w:tab w:val="center" w:pos="4153"/>
        <w:tab w:val="right" w:pos="8306"/>
      </w:tabs>
      <w:snapToGrid w:val="0"/>
    </w:pPr>
    <w:rPr>
      <w:sz w:val="18"/>
      <w:szCs w:val="18"/>
    </w:rPr>
  </w:style>
  <w:style w:type="character" w:styleId="41">
    <w:name w:val="HTML Acronym"/>
    <w:basedOn w:val="11"/>
    <w:uiPriority w:val="0"/>
  </w:style>
  <w:style w:type="paragraph" w:styleId="42">
    <w:name w:val="HTML Address"/>
    <w:basedOn w:val="1"/>
    <w:uiPriority w:val="0"/>
    <w:rPr>
      <w:i/>
      <w:iCs/>
    </w:rPr>
  </w:style>
  <w:style w:type="character" w:styleId="43">
    <w:name w:val="HTML Cite"/>
    <w:basedOn w:val="11"/>
    <w:uiPriority w:val="0"/>
    <w:rPr>
      <w:i/>
      <w:iCs/>
    </w:rPr>
  </w:style>
  <w:style w:type="character" w:styleId="44">
    <w:name w:val="HTML Code"/>
    <w:basedOn w:val="11"/>
    <w:uiPriority w:val="0"/>
    <w:rPr>
      <w:rFonts w:ascii="Courier New" w:hAnsi="Courier New" w:cs="Courier New"/>
      <w:sz w:val="20"/>
      <w:szCs w:val="20"/>
    </w:rPr>
  </w:style>
  <w:style w:type="character" w:styleId="45">
    <w:name w:val="HTML Definition"/>
    <w:basedOn w:val="11"/>
    <w:uiPriority w:val="0"/>
    <w:rPr>
      <w:i/>
      <w:iCs/>
    </w:rPr>
  </w:style>
  <w:style w:type="character" w:styleId="46">
    <w:name w:val="HTML Keyboard"/>
    <w:basedOn w:val="11"/>
    <w:uiPriority w:val="0"/>
    <w:rPr>
      <w:rFonts w:ascii="Courier New" w:hAnsi="Courier New" w:cs="Courier New"/>
      <w:sz w:val="20"/>
      <w:szCs w:val="20"/>
    </w:rPr>
  </w:style>
  <w:style w:type="paragraph" w:styleId="47">
    <w:name w:val="HTML Preformatted"/>
    <w:basedOn w:val="1"/>
    <w:uiPriority w:val="0"/>
    <w:rPr>
      <w:rFonts w:ascii="Courier New" w:hAnsi="Courier New" w:cs="Courier New"/>
      <w:sz w:val="20"/>
    </w:rPr>
  </w:style>
  <w:style w:type="character" w:styleId="48">
    <w:name w:val="HTML Sample"/>
    <w:basedOn w:val="11"/>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uiPriority w:val="0"/>
    <w:pPr>
      <w:numPr>
        <w:ilvl w:val="0"/>
        <w:numId w:val="3"/>
      </w:numPr>
    </w:pPr>
  </w:style>
  <w:style w:type="paragraph" w:styleId="71">
    <w:name w:val="List Bullet 4"/>
    <w:basedOn w:val="1"/>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uiPriority w:val="0"/>
    <w:rPr>
      <w:sz w:val="24"/>
      <w:szCs w:val="24"/>
    </w:rPr>
  </w:style>
  <w:style w:type="paragraph" w:styleId="86">
    <w:name w:val="Normal Indent"/>
    <w:basedOn w:val="1"/>
    <w:uiPriority w:val="0"/>
    <w:pPr>
      <w:ind w:firstLine="420" w:firstLineChars="200"/>
    </w:pPr>
  </w:style>
  <w:style w:type="paragraph" w:styleId="87">
    <w:name w:val="Note Heading"/>
    <w:basedOn w:val="1"/>
    <w:next w:val="1"/>
    <w:uiPriority w:val="0"/>
    <w:pPr>
      <w:jc w:val="center"/>
    </w:pPr>
  </w:style>
  <w:style w:type="character" w:styleId="88">
    <w:name w:val="page number"/>
    <w:basedOn w:val="11"/>
    <w:qFormat/>
    <w:uiPriority w:val="0"/>
  </w:style>
  <w:style w:type="paragraph" w:styleId="89">
    <w:name w:val="Plain Text"/>
    <w:basedOn w:val="1"/>
    <w:uiPriority w:val="0"/>
    <w:rPr>
      <w:rFonts w:ascii="SimSun" w:hAnsi="Courier New" w:cs="Courier New"/>
      <w:szCs w:val="21"/>
    </w:rPr>
  </w:style>
  <w:style w:type="paragraph" w:styleId="90">
    <w:name w:val="Salutation"/>
    <w:basedOn w:val="1"/>
    <w:next w:val="1"/>
    <w:uiPriority w:val="0"/>
  </w:style>
  <w:style w:type="paragraph" w:styleId="91">
    <w:name w:val="Signature"/>
    <w:basedOn w:val="1"/>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Office_11.2.0.10307_F1E327BC-269C-435d-A152-05C5408002CA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2021-10-18T13:27:00Z</dcterms:created>
  <dc:creator>Paul Spirn</dc:creator>
  <cp:lastModifiedBy>Paul Spirn</cp:lastModifiedBy>
  <cp:lastPrinted>2021-10-18T15:24:00Z</cp:lastPrinted>
  <dcterms:modified xsi:type="dcterms:W3CDTF">2021-10-25T17:14:31Z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1033-11.2.0.10307</vt:lpwstr>
  </property>
  <property fmtid="{D5CDD505-2E9C-101B-9397-08002B2CF9AE}" pid="3" name="ICV">
    <vt:lpwstr>20EAF1157E3049EA933609679A58D8C7</vt:lpwstr>
  </property>
</Properties>
</file>